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40" w:line="520" w:lineRule="atLeast"/>
        <w:jc w:val="center"/>
        <w:textAlignment w:val="auto"/>
        <w:rPr>
          <w:rFonts w:hint="eastAsia" w:ascii="微软雅黑" w:hAnsi="微软雅黑" w:eastAsia="微软雅黑" w:cs="微软雅黑"/>
          <w:b/>
          <w:bCs/>
          <w:color w:val="2B2B2B"/>
          <w:sz w:val="32"/>
          <w:szCs w:val="32"/>
        </w:rPr>
      </w:pPr>
      <w:r>
        <w:rPr>
          <w:rFonts w:hint="eastAsia" w:ascii="微软雅黑" w:hAnsi="微软雅黑" w:eastAsia="微软雅黑" w:cs="微软雅黑"/>
          <w:b/>
          <w:bCs/>
          <w:color w:val="2B2B2B"/>
          <w:sz w:val="32"/>
          <w:szCs w:val="32"/>
        </w:rPr>
        <w:t>水利部重大科技项目计划2022年度项目申报指南</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为贯彻落实《“十四五”水利科技创新规划》，根据《水利部重大科技项目管理办法》，水利部国际合作与科技司组织制定了水利部重大科技项目计划2022年度项目申报指南（针对申报类项目）。</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水利部重大科技项目计划项目瞄准为全面建设社会主义现代化国家提供有力的水安全保障这一新阶段水利高质量发展总体目标，围绕全面提升水旱灾害防御能力、水资源集约节约利用能力、水资源优化配置能力、大江大河大湖生态保护治理能力，聚焦推动新阶段水利高质量发展的六条实施路径，重点支持水利基础和应用基础研究、重大关键技术研发和先进适用科技成果推广应用。</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水利部重大科技项目计划以项目为单元组织申报，项目执行期1~3年。项目实施所需资金以承担单位多渠道筹集为主，鼓励产学研用联合申报，鼓励水利高新企业牵头申报。项目设1位项目负责人，项目组成员总人数不超过30人，其中技术骨干不超过总人数的35%。</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2022年度重点支持方向如下：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b/>
          <w:bCs/>
          <w:color w:val="2B2B2B"/>
          <w:sz w:val="27"/>
          <w:szCs w:val="27"/>
        </w:rPr>
      </w:pPr>
      <w:r>
        <w:rPr>
          <w:rFonts w:hint="eastAsia" w:ascii="微软雅黑" w:hAnsi="微软雅黑" w:eastAsia="微软雅黑" w:cs="微软雅黑"/>
          <w:b/>
          <w:bCs/>
          <w:color w:val="2B2B2B"/>
          <w:sz w:val="27"/>
          <w:szCs w:val="27"/>
        </w:rPr>
        <w:t>一、水旱灾害防御</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重点支持洪水形成演变规律研究，防洪抗旱“预报-预警-预演-预案”（以下简称“四预”）技术体系和智慧决策平台，气候变化背景下特大洪涝干旱风险识别与应对策略，洪水预报模型研究，基于风险和应急管理的流域、区域防洪标准，水工程调度与汛限水位运用技术，防洪堤坝险情自动巡查监测技术装备，高性能测雨雷达、城市洪涝立体监测等恶劣气象条件下雨水旱情监测预警技术装备，抗洪抢险专用现代化装备等。</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b/>
          <w:bCs/>
          <w:color w:val="2B2B2B"/>
          <w:sz w:val="27"/>
          <w:szCs w:val="27"/>
        </w:rPr>
      </w:pPr>
      <w:r>
        <w:rPr>
          <w:rFonts w:hint="eastAsia" w:ascii="微软雅黑" w:hAnsi="微软雅黑" w:eastAsia="微软雅黑" w:cs="微软雅黑"/>
          <w:b/>
          <w:bCs/>
          <w:color w:val="2B2B2B"/>
          <w:sz w:val="27"/>
          <w:szCs w:val="27"/>
        </w:rPr>
        <w:t>二、水资源优化配置与集约节约利用</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重点支持流域水资源条件变化及规律研究，水文水资源高性能监测，流域产汇流模型研究，流域水文条件变化适应性策略与调度技术，气候变化条件下水资源情势和宏观战略研究，水资源调配通用模型研究，黄淮海流域节水潜力和需求预测，黄河流域泥沙动态调控研究，地下水通用模型研究，供水管网运行维护，水资源监管和节水评价体系，农业、生活及工业深度节水技术与装备，污水资源化及非常规水资源利用技术，农村供水水源水质保障、净化消毒、管网输配、智慧运营、风险防控技术，大中型灌区建设与改造技术，用水立体感知、高效灌排调控、水盐、水沙、水污协同调控技术等现代灌区绿色高效节水技术，农村小水电绿色改造关键技术等。</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b/>
          <w:bCs/>
          <w:color w:val="2B2B2B"/>
          <w:sz w:val="27"/>
          <w:szCs w:val="27"/>
        </w:rPr>
      </w:pPr>
      <w:r>
        <w:rPr>
          <w:rFonts w:hint="eastAsia" w:ascii="微软雅黑" w:hAnsi="微软雅黑" w:eastAsia="微软雅黑" w:cs="微软雅黑"/>
          <w:b/>
          <w:bCs/>
          <w:color w:val="2B2B2B"/>
          <w:sz w:val="27"/>
          <w:szCs w:val="27"/>
        </w:rPr>
        <w:t>三、河湖治理与生态环境复苏</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重点支持地下水运动规律研究，地下水流场模拟和预警、回补技术，生态流量、地下水的监测、评估、改善调控与适应性管理，河湖生态廊道退化与复苏机理研究，复苏河湖生态环境技术体系，流域、湖库水生态系统高效智能监测与协同保护修复技术，河湖湿地“碳汇”潜力评价等；重点支持泥沙通用模型及软件研究，泥沙运动和河床演变基础理论研究，河湖水域岸线空间管控识别及预判预警技术，泥沙动态调控与水库长期使用技术，泥沙资源综合利用技术，基于图像处理技术的泥沙颗粒粒度分析仪，河湖、河口演变机理与综合治理技术等；重点支持土壤侵蚀模型研究，重力侵蚀和水土保持碳汇机理研究，不同侵蚀类型区水沙迁移过程机制及调控对策，黑土地侵蚀沟治理技术，淤地坝系安全评价、防控措施与“四预”系统，“空天地一体化”水土流失过程精细化监管等。</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b/>
          <w:bCs/>
          <w:color w:val="2B2B2B"/>
          <w:sz w:val="27"/>
          <w:szCs w:val="27"/>
        </w:rPr>
      </w:pPr>
      <w:r>
        <w:rPr>
          <w:rFonts w:hint="eastAsia" w:ascii="微软雅黑" w:hAnsi="微软雅黑" w:eastAsia="微软雅黑" w:cs="微软雅黑"/>
          <w:b/>
          <w:bCs/>
          <w:color w:val="2B2B2B"/>
          <w:sz w:val="27"/>
          <w:szCs w:val="27"/>
        </w:rPr>
        <w:t>四、国家水网等水利工程建设与运行</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重点支持国家水网总体布局和规划调度技术，国家水网智能化技术，南水北调后续工程高质量发展关键技术，水工程多目标协同调度模型研究，数字孪生水利工程关键技术，水利工程全生命周期性能演化机理与安全调控理论研究，梯级水库风险孕育机制及安全调控理论研究，复杂条件下高坝大库建设关键技术，长距离大埋深高地应力隧洞施工及安全运行维护技术，堤坝工程隐伏病险探测治理技术与装备，计算流体动力学和岩体结构变形分析数值模拟软件，水下激光扫描设备，病险水库隐患探测、除险加固和应急抢险关键技术，双碳目标下生态水利工程建设运行及效能提升技术，长距离输水工程供水能力提升与保障技术，输水建筑物水下缺陷修复技术等。</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b/>
          <w:bCs/>
          <w:color w:val="2B2B2B"/>
          <w:sz w:val="27"/>
          <w:szCs w:val="27"/>
        </w:rPr>
      </w:pPr>
      <w:r>
        <w:rPr>
          <w:rFonts w:hint="eastAsia" w:ascii="微软雅黑" w:hAnsi="微软雅黑" w:eastAsia="微软雅黑" w:cs="微软雅黑"/>
          <w:b/>
          <w:bCs/>
          <w:color w:val="2B2B2B"/>
          <w:sz w:val="27"/>
          <w:szCs w:val="27"/>
        </w:rPr>
        <w:t>五、智慧水利</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重点支持数字孪生流域关键技术，智慧水利理论基础和技术架构，通用性水利专业模型及其平台应用技术，天空地一体化水利感知技术，建筑信息模型（BIM）技术应用，基于数字孪生的水利工程现代化调度管理和运行安全监测技术，水利关键信息基础设施网络安全技术，服务于水利行业的小卫星星座，无人机、无人船、机器人等智能水信息巡视巡测巡检装备，图形处理技术，精准化决策关键技术及重点领域的“四预”功能的技术示范等。</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b/>
          <w:bCs/>
          <w:color w:val="2B2B2B"/>
          <w:sz w:val="27"/>
          <w:szCs w:val="27"/>
        </w:rPr>
      </w:pPr>
      <w:r>
        <w:rPr>
          <w:rFonts w:hint="eastAsia" w:ascii="微软雅黑" w:hAnsi="微软雅黑" w:eastAsia="微软雅黑" w:cs="微软雅黑"/>
          <w:b/>
          <w:bCs/>
          <w:color w:val="2B2B2B"/>
          <w:sz w:val="27"/>
          <w:szCs w:val="27"/>
        </w:rPr>
        <w:t>六、流域重大关键技术</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以数字孪生流域建设、流域治理管理能力提升为重点，围绕京津冀协同发展、长江经济带发展、粤港澳大湾区建设、长三角一体化发展、黄河流域生态保护和高质量发展等重大国家战略，重点支持流域生态补偿机制，南水北调等工程对长江流域水资源的影响，长江流域重要水体水生态保护关键技术，黄河流域水资源节约集约利用模式，淮河流域智能洪水预报调度技术，海河/松辽流域河湖生态治理和地下水超采治理关键技术，珠江河口综合治理保护技术，太湖流域多目标调度关键技术等。</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b/>
          <w:bCs/>
          <w:color w:val="2B2B2B"/>
          <w:sz w:val="27"/>
          <w:szCs w:val="27"/>
        </w:rPr>
      </w:pPr>
      <w:r>
        <w:rPr>
          <w:rFonts w:hint="eastAsia" w:ascii="微软雅黑" w:hAnsi="微软雅黑" w:eastAsia="微软雅黑" w:cs="微软雅黑"/>
          <w:b/>
          <w:bCs/>
          <w:color w:val="2B2B2B"/>
          <w:sz w:val="27"/>
          <w:szCs w:val="27"/>
        </w:rPr>
        <w:t>七、其他</w:t>
      </w:r>
    </w:p>
    <w:p>
      <w:pPr>
        <w:keepNext w:val="0"/>
        <w:keepLines w:val="0"/>
        <w:pageBreakBefore w:val="0"/>
        <w:widowControl w:val="0"/>
        <w:kinsoku/>
        <w:wordWrap/>
        <w:overflowPunct/>
        <w:topLinePunct w:val="0"/>
        <w:autoSpaceDE/>
        <w:autoSpaceDN/>
        <w:bidi w:val="0"/>
        <w:adjustRightInd/>
        <w:snapToGrid/>
        <w:spacing w:before="440" w:line="520" w:lineRule="atLeast"/>
        <w:ind w:firstLine="540" w:firstLineChars="200"/>
        <w:jc w:val="both"/>
        <w:textAlignment w:val="auto"/>
        <w:rPr>
          <w:rFonts w:hint="eastAsia" w:ascii="微软雅黑" w:hAnsi="微软雅黑" w:eastAsia="微软雅黑" w:cs="微软雅黑"/>
          <w:color w:val="2B2B2B"/>
          <w:sz w:val="27"/>
          <w:szCs w:val="27"/>
        </w:rPr>
      </w:pPr>
      <w:r>
        <w:rPr>
          <w:rFonts w:hint="eastAsia" w:ascii="微软雅黑" w:hAnsi="微软雅黑" w:eastAsia="微软雅黑" w:cs="微软雅黑"/>
          <w:color w:val="2B2B2B"/>
          <w:sz w:val="27"/>
          <w:szCs w:val="27"/>
        </w:rPr>
        <w:t>其他符合推动新阶段水利高质量发展需求的技术方向。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g2Y2QyMjBlZDU2YzM3YmJlN2E5YjIzOTM4Mjk0YmIifQ=="/>
  </w:docVars>
  <w:rsids>
    <w:rsidRoot w:val="51275273"/>
    <w:rsid w:val="51275273"/>
    <w:rsid w:val="67FD0326"/>
    <w:rsid w:val="792C5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2020</Words>
  <Characters>2036</Characters>
  <Lines>0</Lines>
  <Paragraphs>0</Paragraphs>
  <TotalTime>36</TotalTime>
  <ScaleCrop>false</ScaleCrop>
  <LinksUpToDate>false</LinksUpToDate>
  <CharactersWithSpaces>2036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2022-03-16T08:11:00Z</dcterms:created>
  <dc:creator>カメリア</dc:creator>
  <cp:lastModifiedBy>カメリア</cp:lastModifiedBy>
  <dcterms:modified xsi:type="dcterms:W3CDTF">2022-05-23T02:49:24Z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B6CC96FA36AA4B4899ACE993A24473E6</vt:lpwstr>
  </property>
</Properties>
</file>